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8866" w14:textId="77777777" w:rsidR="0008164A" w:rsidRDefault="008E1257" w:rsidP="008655CE">
      <w:pPr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REFORME D</w:t>
      </w:r>
      <w:r w:rsidR="0008164A">
        <w:rPr>
          <w:b/>
          <w:sz w:val="22"/>
          <w:szCs w:val="20"/>
        </w:rPr>
        <w:t>ES</w:t>
      </w:r>
      <w:r>
        <w:rPr>
          <w:b/>
          <w:sz w:val="22"/>
          <w:szCs w:val="20"/>
        </w:rPr>
        <w:t xml:space="preserve"> TAXE</w:t>
      </w:r>
      <w:r w:rsidR="0008164A">
        <w:rPr>
          <w:b/>
          <w:sz w:val="22"/>
          <w:szCs w:val="20"/>
        </w:rPr>
        <w:t>S</w:t>
      </w:r>
      <w:r>
        <w:rPr>
          <w:b/>
          <w:sz w:val="22"/>
          <w:szCs w:val="20"/>
        </w:rPr>
        <w:t xml:space="preserve"> LOCALE</w:t>
      </w:r>
      <w:r w:rsidR="0008164A">
        <w:rPr>
          <w:b/>
          <w:sz w:val="22"/>
          <w:szCs w:val="20"/>
        </w:rPr>
        <w:t>S</w:t>
      </w:r>
      <w:r>
        <w:rPr>
          <w:b/>
          <w:sz w:val="22"/>
          <w:szCs w:val="20"/>
        </w:rPr>
        <w:t xml:space="preserve"> SUR L’ELECTRICITE : </w:t>
      </w:r>
    </w:p>
    <w:p w14:paraId="4FF076B6" w14:textId="09EAED69" w:rsidR="00821178" w:rsidRPr="00567303" w:rsidRDefault="0008164A" w:rsidP="004704AD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IMPACT POUR LES HABITANTS DE </w:t>
      </w:r>
      <w:r w:rsidRPr="005B0199">
        <w:rPr>
          <w:b/>
          <w:color w:val="767171" w:themeColor="background2" w:themeShade="80"/>
          <w:sz w:val="22"/>
          <w:szCs w:val="20"/>
        </w:rPr>
        <w:t>[</w:t>
      </w:r>
      <w:r w:rsidRPr="005B0199">
        <w:rPr>
          <w:b/>
          <w:i/>
          <w:color w:val="767171" w:themeColor="background2" w:themeShade="80"/>
          <w:sz w:val="22"/>
          <w:szCs w:val="20"/>
        </w:rPr>
        <w:t>NOM COMMUNE</w:t>
      </w:r>
      <w:r w:rsidRPr="005B0199">
        <w:rPr>
          <w:b/>
          <w:color w:val="767171" w:themeColor="background2" w:themeShade="80"/>
          <w:sz w:val="22"/>
          <w:szCs w:val="20"/>
        </w:rPr>
        <w:t>]</w:t>
      </w:r>
    </w:p>
    <w:p w14:paraId="3A4E3B69" w14:textId="7330CA63" w:rsidR="00567303" w:rsidRDefault="00567303" w:rsidP="00821178">
      <w:pPr>
        <w:jc w:val="both"/>
        <w:rPr>
          <w:color w:val="000000"/>
          <w:szCs w:val="20"/>
          <w:lang w:eastAsia="en-US"/>
        </w:rPr>
      </w:pPr>
    </w:p>
    <w:p w14:paraId="17E4C508" w14:textId="3DC47BBC" w:rsidR="008E1257" w:rsidRDefault="008E1257" w:rsidP="00983920">
      <w:pPr>
        <w:jc w:val="both"/>
        <w:rPr>
          <w:szCs w:val="20"/>
        </w:rPr>
      </w:pPr>
      <w:r>
        <w:rPr>
          <w:szCs w:val="20"/>
        </w:rPr>
        <w:t xml:space="preserve">L’Etat a souhaité réformer le régime de </w:t>
      </w:r>
      <w:r w:rsidRPr="008E1257">
        <w:rPr>
          <w:szCs w:val="20"/>
        </w:rPr>
        <w:t xml:space="preserve">taxation </w:t>
      </w:r>
      <w:r w:rsidR="009E4066">
        <w:rPr>
          <w:szCs w:val="20"/>
        </w:rPr>
        <w:t>d</w:t>
      </w:r>
      <w:r w:rsidRPr="008E1257">
        <w:rPr>
          <w:szCs w:val="20"/>
        </w:rPr>
        <w:t>es consommations d’électricité</w:t>
      </w:r>
      <w:r>
        <w:rPr>
          <w:szCs w:val="20"/>
        </w:rPr>
        <w:t xml:space="preserve">. </w:t>
      </w:r>
    </w:p>
    <w:p w14:paraId="38560CC4" w14:textId="4F6CFBEE" w:rsidR="005C5CD3" w:rsidRDefault="009E4066" w:rsidP="00832B7A">
      <w:pPr>
        <w:pStyle w:val="Bleu"/>
      </w:pPr>
      <w:r>
        <w:t>L</w:t>
      </w:r>
      <w:r w:rsidR="00E639A8">
        <w:t>es</w:t>
      </w:r>
      <w:r>
        <w:t xml:space="preserve"> </w:t>
      </w:r>
      <w:r w:rsidR="00E639A8" w:rsidRPr="00E639A8">
        <w:t>taxe</w:t>
      </w:r>
      <w:r w:rsidR="00E639A8">
        <w:t>s</w:t>
      </w:r>
      <w:r w:rsidR="00E639A8" w:rsidRPr="00E639A8">
        <w:t xml:space="preserve"> locale</w:t>
      </w:r>
      <w:r w:rsidR="00E639A8">
        <w:t>s</w:t>
      </w:r>
      <w:r w:rsidR="00E639A8" w:rsidRPr="00E639A8">
        <w:t xml:space="preserve"> sur l’électricité</w:t>
      </w:r>
      <w:r w:rsidR="005C5CD3" w:rsidRPr="00E639A8">
        <w:t>,</w:t>
      </w:r>
      <w:r w:rsidR="005C5CD3">
        <w:t xml:space="preserve"> qu’est-ce que c’est ? </w:t>
      </w:r>
    </w:p>
    <w:p w14:paraId="7FA283CD" w14:textId="38E350C1" w:rsidR="00E639A8" w:rsidRPr="00302ED3" w:rsidRDefault="00E639A8" w:rsidP="00983920">
      <w:pPr>
        <w:jc w:val="both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 xml:space="preserve">Il existe aujourd’hui deux taxes locales sur </w:t>
      </w:r>
      <w:r w:rsidRPr="003D57D6">
        <w:rPr>
          <w:color w:val="000000"/>
          <w:szCs w:val="20"/>
          <w:lang w:eastAsia="en-US"/>
        </w:rPr>
        <w:t>l</w:t>
      </w:r>
      <w:r w:rsidRPr="003D57D6">
        <w:rPr>
          <w:szCs w:val="20"/>
        </w:rPr>
        <w:t>es consommations d</w:t>
      </w:r>
      <w:r w:rsidRPr="003D57D6">
        <w:rPr>
          <w:color w:val="000000"/>
          <w:szCs w:val="20"/>
          <w:lang w:eastAsia="en-US"/>
        </w:rPr>
        <w:t xml:space="preserve">’électricité : la taxe </w:t>
      </w:r>
      <w:r w:rsidRPr="003D57D6">
        <w:rPr>
          <w:i/>
          <w:color w:val="000000"/>
          <w:szCs w:val="20"/>
          <w:lang w:eastAsia="en-US"/>
        </w:rPr>
        <w:t>communale</w:t>
      </w:r>
      <w:r w:rsidRPr="003D57D6">
        <w:rPr>
          <w:color w:val="000000"/>
          <w:szCs w:val="20"/>
          <w:lang w:eastAsia="en-US"/>
        </w:rPr>
        <w:t xml:space="preserve"> sur la con</w:t>
      </w:r>
      <w:r w:rsidR="00D04765">
        <w:rPr>
          <w:color w:val="000000"/>
          <w:szCs w:val="20"/>
          <w:lang w:eastAsia="en-US"/>
        </w:rPr>
        <w:t>sommation finale d’électricité</w:t>
      </w:r>
      <w:r w:rsidRPr="003D57D6">
        <w:rPr>
          <w:color w:val="000000"/>
          <w:szCs w:val="20"/>
          <w:lang w:eastAsia="en-US"/>
        </w:rPr>
        <w:t xml:space="preserve"> e</w:t>
      </w:r>
      <w:r>
        <w:rPr>
          <w:color w:val="000000"/>
          <w:szCs w:val="20"/>
          <w:lang w:eastAsia="en-US"/>
        </w:rPr>
        <w:t xml:space="preserve">t la taxe </w:t>
      </w:r>
      <w:r w:rsidRPr="003D57D6">
        <w:rPr>
          <w:i/>
          <w:color w:val="000000"/>
          <w:szCs w:val="20"/>
          <w:lang w:eastAsia="en-US"/>
        </w:rPr>
        <w:t>départementale</w:t>
      </w:r>
      <w:r>
        <w:rPr>
          <w:color w:val="000000"/>
          <w:szCs w:val="20"/>
          <w:lang w:eastAsia="en-US"/>
        </w:rPr>
        <w:t xml:space="preserve"> sur la con</w:t>
      </w:r>
      <w:r w:rsidR="00D04765">
        <w:rPr>
          <w:color w:val="000000"/>
          <w:szCs w:val="20"/>
          <w:lang w:eastAsia="en-US"/>
        </w:rPr>
        <w:t>sommation finale d’électricité</w:t>
      </w:r>
      <w:r>
        <w:rPr>
          <w:color w:val="000000"/>
          <w:szCs w:val="20"/>
          <w:lang w:eastAsia="en-US"/>
        </w:rPr>
        <w:t xml:space="preserve">. </w:t>
      </w:r>
      <w:r w:rsidR="00E10726" w:rsidRPr="00302ED3">
        <w:rPr>
          <w:color w:val="000000"/>
          <w:szCs w:val="20"/>
          <w:lang w:eastAsia="en-US"/>
        </w:rPr>
        <w:t>La première revient aux communes ou syndicats départementaux d’énergie, la seconde aux départements.</w:t>
      </w:r>
    </w:p>
    <w:p w14:paraId="4E5168AC" w14:textId="215A47AE" w:rsidR="009E4066" w:rsidRDefault="00BE3354" w:rsidP="00983920">
      <w:pPr>
        <w:jc w:val="both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>Ces deux taxes</w:t>
      </w:r>
      <w:r w:rsidR="009E4066">
        <w:rPr>
          <w:color w:val="000000"/>
          <w:szCs w:val="20"/>
          <w:lang w:eastAsia="en-US"/>
        </w:rPr>
        <w:t xml:space="preserve"> concerne</w:t>
      </w:r>
      <w:r w:rsidR="00E639A8">
        <w:rPr>
          <w:color w:val="000000"/>
          <w:szCs w:val="20"/>
          <w:lang w:eastAsia="en-US"/>
        </w:rPr>
        <w:t>nt</w:t>
      </w:r>
      <w:r w:rsidR="009E4066">
        <w:rPr>
          <w:color w:val="000000"/>
          <w:szCs w:val="20"/>
          <w:lang w:eastAsia="en-US"/>
        </w:rPr>
        <w:t xml:space="preserve"> tous les consommateurs</w:t>
      </w:r>
      <w:r w:rsidR="009E08ED">
        <w:rPr>
          <w:color w:val="000000"/>
          <w:szCs w:val="20"/>
          <w:lang w:eastAsia="en-US"/>
        </w:rPr>
        <w:t xml:space="preserve"> d’électricité</w:t>
      </w:r>
      <w:r w:rsidR="00F83DF1">
        <w:rPr>
          <w:color w:val="000000"/>
          <w:szCs w:val="20"/>
          <w:lang w:eastAsia="en-US"/>
        </w:rPr>
        <w:t xml:space="preserve"> </w:t>
      </w:r>
      <w:r w:rsidR="009E4066">
        <w:rPr>
          <w:color w:val="000000"/>
          <w:szCs w:val="20"/>
          <w:lang w:eastAsia="en-US"/>
        </w:rPr>
        <w:t xml:space="preserve">ayant souscrit </w:t>
      </w:r>
      <w:r w:rsidR="003D57D6">
        <w:rPr>
          <w:color w:val="000000"/>
          <w:szCs w:val="20"/>
          <w:lang w:eastAsia="en-US"/>
        </w:rPr>
        <w:t>un</w:t>
      </w:r>
      <w:r w:rsidR="009E4066">
        <w:rPr>
          <w:color w:val="000000"/>
          <w:szCs w:val="20"/>
          <w:lang w:eastAsia="en-US"/>
        </w:rPr>
        <w:t xml:space="preserve"> contrat de fourniture d’électricité </w:t>
      </w:r>
      <w:r w:rsidR="003D57D6">
        <w:rPr>
          <w:color w:val="000000"/>
          <w:szCs w:val="20"/>
          <w:lang w:eastAsia="en-US"/>
        </w:rPr>
        <w:t xml:space="preserve">avec </w:t>
      </w:r>
      <w:r w:rsidR="009E4066">
        <w:rPr>
          <w:color w:val="000000"/>
          <w:szCs w:val="20"/>
          <w:lang w:eastAsia="en-US"/>
        </w:rPr>
        <w:t xml:space="preserve">une </w:t>
      </w:r>
      <w:r w:rsidR="005C5CD3">
        <w:rPr>
          <w:color w:val="000000"/>
          <w:szCs w:val="20"/>
          <w:lang w:eastAsia="en-US"/>
        </w:rPr>
        <w:t xml:space="preserve">puissance inférieure ou égale à 250 kVA. </w:t>
      </w:r>
    </w:p>
    <w:p w14:paraId="192261E3" w14:textId="75403802" w:rsidR="003F2F71" w:rsidRDefault="003F2F71" w:rsidP="00983920">
      <w:pPr>
        <w:jc w:val="both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>Ce</w:t>
      </w:r>
      <w:r w:rsidR="00E639A8">
        <w:rPr>
          <w:color w:val="000000"/>
          <w:szCs w:val="20"/>
          <w:lang w:eastAsia="en-US"/>
        </w:rPr>
        <w:t>s</w:t>
      </w:r>
      <w:r>
        <w:rPr>
          <w:color w:val="000000"/>
          <w:szCs w:val="20"/>
          <w:lang w:eastAsia="en-US"/>
        </w:rPr>
        <w:t xml:space="preserve"> </w:t>
      </w:r>
      <w:r w:rsidRPr="00F83DF1">
        <w:rPr>
          <w:color w:val="000000" w:themeColor="text1"/>
          <w:szCs w:val="20"/>
          <w:lang w:eastAsia="en-US"/>
        </w:rPr>
        <w:t>taxe</w:t>
      </w:r>
      <w:r w:rsidR="00E639A8" w:rsidRPr="00F83DF1">
        <w:rPr>
          <w:color w:val="000000" w:themeColor="text1"/>
          <w:szCs w:val="20"/>
          <w:lang w:eastAsia="en-US"/>
        </w:rPr>
        <w:t>s</w:t>
      </w:r>
      <w:r w:rsidRPr="00F83DF1">
        <w:rPr>
          <w:color w:val="000000" w:themeColor="text1"/>
          <w:szCs w:val="20"/>
          <w:lang w:eastAsia="en-US"/>
        </w:rPr>
        <w:t xml:space="preserve"> </w:t>
      </w:r>
      <w:r w:rsidR="00E639A8" w:rsidRPr="00F83DF1">
        <w:rPr>
          <w:color w:val="000000" w:themeColor="text1"/>
          <w:szCs w:val="20"/>
          <w:lang w:eastAsia="en-US"/>
        </w:rPr>
        <w:t>sont</w:t>
      </w:r>
      <w:r w:rsidRPr="00F83DF1">
        <w:rPr>
          <w:color w:val="000000" w:themeColor="text1"/>
          <w:szCs w:val="20"/>
          <w:lang w:eastAsia="en-US"/>
        </w:rPr>
        <w:t xml:space="preserve"> </w:t>
      </w:r>
      <w:r w:rsidR="00302ED3" w:rsidRPr="00F83DF1">
        <w:rPr>
          <w:color w:val="000000" w:themeColor="text1"/>
          <w:szCs w:val="20"/>
          <w:lang w:eastAsia="en-US"/>
        </w:rPr>
        <w:t>calculées à partir des</w:t>
      </w:r>
      <w:r w:rsidRPr="00F83DF1">
        <w:rPr>
          <w:color w:val="000000" w:themeColor="text1"/>
          <w:szCs w:val="20"/>
          <w:lang w:eastAsia="en-US"/>
        </w:rPr>
        <w:t xml:space="preserve"> </w:t>
      </w:r>
      <w:r w:rsidR="00302ED3" w:rsidRPr="00F83DF1">
        <w:rPr>
          <w:color w:val="000000" w:themeColor="text1"/>
          <w:szCs w:val="20"/>
          <w:lang w:eastAsia="en-US"/>
        </w:rPr>
        <w:t xml:space="preserve">consommations </w:t>
      </w:r>
      <w:r w:rsidR="00302ED3">
        <w:rPr>
          <w:color w:val="000000"/>
          <w:szCs w:val="20"/>
          <w:lang w:eastAsia="en-US"/>
        </w:rPr>
        <w:t>d’électricité</w:t>
      </w:r>
      <w:r>
        <w:rPr>
          <w:color w:val="000000"/>
          <w:szCs w:val="20"/>
          <w:lang w:eastAsia="en-US"/>
        </w:rPr>
        <w:t xml:space="preserve"> </w:t>
      </w:r>
      <w:r w:rsidR="00302ED3">
        <w:rPr>
          <w:color w:val="000000"/>
          <w:szCs w:val="20"/>
          <w:lang w:eastAsia="en-US"/>
        </w:rPr>
        <w:t xml:space="preserve">et </w:t>
      </w:r>
      <w:r w:rsidR="003F638A">
        <w:rPr>
          <w:color w:val="000000"/>
          <w:szCs w:val="20"/>
          <w:lang w:eastAsia="en-US"/>
        </w:rPr>
        <w:t>des</w:t>
      </w:r>
      <w:r>
        <w:rPr>
          <w:color w:val="000000"/>
          <w:szCs w:val="20"/>
          <w:lang w:eastAsia="en-US"/>
        </w:rPr>
        <w:t xml:space="preserve"> </w:t>
      </w:r>
      <w:r w:rsidR="00F83DF1">
        <w:rPr>
          <w:color w:val="000000"/>
          <w:szCs w:val="20"/>
          <w:lang w:eastAsia="en-US"/>
        </w:rPr>
        <w:t>taux</w:t>
      </w:r>
      <w:r>
        <w:rPr>
          <w:color w:val="000000"/>
          <w:szCs w:val="20"/>
          <w:lang w:eastAsia="en-US"/>
        </w:rPr>
        <w:t xml:space="preserve"> fixé</w:t>
      </w:r>
      <w:r w:rsidR="003F638A">
        <w:rPr>
          <w:color w:val="000000"/>
          <w:szCs w:val="20"/>
          <w:lang w:eastAsia="en-US"/>
        </w:rPr>
        <w:t>s</w:t>
      </w:r>
      <w:r>
        <w:rPr>
          <w:color w:val="000000"/>
          <w:szCs w:val="20"/>
          <w:lang w:eastAsia="en-US"/>
        </w:rPr>
        <w:t xml:space="preserve"> par l’Etat, </w:t>
      </w:r>
      <w:r w:rsidRPr="00F83DF1">
        <w:rPr>
          <w:color w:val="000000"/>
          <w:szCs w:val="20"/>
          <w:lang w:eastAsia="en-US"/>
        </w:rPr>
        <w:t>modulé</w:t>
      </w:r>
      <w:r w:rsidR="003F638A" w:rsidRPr="00F83DF1">
        <w:rPr>
          <w:color w:val="000000"/>
          <w:szCs w:val="20"/>
          <w:lang w:eastAsia="en-US"/>
        </w:rPr>
        <w:t>s</w:t>
      </w:r>
      <w:r w:rsidRPr="00CC4512">
        <w:rPr>
          <w:b/>
          <w:color w:val="000000"/>
          <w:szCs w:val="20"/>
          <w:lang w:eastAsia="en-US"/>
        </w:rPr>
        <w:t xml:space="preserve"> </w:t>
      </w:r>
      <w:r>
        <w:rPr>
          <w:color w:val="000000"/>
          <w:szCs w:val="20"/>
          <w:lang w:eastAsia="en-US"/>
        </w:rPr>
        <w:t xml:space="preserve">par un coefficient choisi par </w:t>
      </w:r>
      <w:r w:rsidR="003F638A">
        <w:rPr>
          <w:color w:val="000000"/>
          <w:szCs w:val="20"/>
          <w:lang w:eastAsia="en-US"/>
        </w:rPr>
        <w:t>chaque</w:t>
      </w:r>
      <w:r>
        <w:rPr>
          <w:color w:val="000000"/>
          <w:szCs w:val="20"/>
          <w:lang w:eastAsia="en-US"/>
        </w:rPr>
        <w:t xml:space="preserve"> commune</w:t>
      </w:r>
      <w:r w:rsidR="00D97263">
        <w:rPr>
          <w:color w:val="000000"/>
          <w:szCs w:val="20"/>
          <w:lang w:eastAsia="en-US"/>
        </w:rPr>
        <w:t xml:space="preserve"> </w:t>
      </w:r>
      <w:r w:rsidR="00302ED3">
        <w:rPr>
          <w:color w:val="000000"/>
          <w:szCs w:val="20"/>
          <w:lang w:eastAsia="en-US"/>
        </w:rPr>
        <w:t>(</w:t>
      </w:r>
      <w:r w:rsidR="00D97263">
        <w:rPr>
          <w:color w:val="000000"/>
          <w:szCs w:val="20"/>
          <w:lang w:eastAsia="en-US"/>
        </w:rPr>
        <w:t xml:space="preserve">ou </w:t>
      </w:r>
      <w:r w:rsidR="003F638A">
        <w:rPr>
          <w:color w:val="000000"/>
          <w:szCs w:val="20"/>
          <w:lang w:eastAsia="en-US"/>
        </w:rPr>
        <w:t>syndicat</w:t>
      </w:r>
      <w:r w:rsidR="00D97263">
        <w:rPr>
          <w:color w:val="000000"/>
          <w:szCs w:val="20"/>
          <w:lang w:eastAsia="en-US"/>
        </w:rPr>
        <w:t xml:space="preserve"> départementa</w:t>
      </w:r>
      <w:r w:rsidR="003F638A">
        <w:rPr>
          <w:color w:val="000000"/>
          <w:szCs w:val="20"/>
          <w:lang w:eastAsia="en-US"/>
        </w:rPr>
        <w:t>l</w:t>
      </w:r>
      <w:r w:rsidR="00D97263">
        <w:rPr>
          <w:color w:val="000000"/>
          <w:szCs w:val="20"/>
          <w:lang w:eastAsia="en-US"/>
        </w:rPr>
        <w:t xml:space="preserve"> d’énergie</w:t>
      </w:r>
      <w:r w:rsidR="00302ED3">
        <w:rPr>
          <w:color w:val="000000"/>
          <w:szCs w:val="20"/>
          <w:lang w:eastAsia="en-US"/>
        </w:rPr>
        <w:t>)</w:t>
      </w:r>
      <w:r w:rsidR="00E639A8">
        <w:rPr>
          <w:color w:val="000000"/>
          <w:szCs w:val="20"/>
          <w:lang w:eastAsia="en-US"/>
        </w:rPr>
        <w:t>, et par chaque département</w:t>
      </w:r>
      <w:r>
        <w:rPr>
          <w:color w:val="000000"/>
          <w:szCs w:val="20"/>
          <w:lang w:eastAsia="en-US"/>
        </w:rPr>
        <w:t xml:space="preserve">. </w:t>
      </w:r>
    </w:p>
    <w:p w14:paraId="29952752" w14:textId="4D4644D2" w:rsidR="00462EFF" w:rsidRPr="00F83DF1" w:rsidRDefault="00D97263" w:rsidP="00983920">
      <w:pPr>
        <w:jc w:val="both"/>
        <w:rPr>
          <w:rFonts w:eastAsia="Times New Roman"/>
          <w:color w:val="000000" w:themeColor="text1"/>
          <w:szCs w:val="20"/>
        </w:rPr>
      </w:pPr>
      <w:r>
        <w:rPr>
          <w:color w:val="000000"/>
          <w:szCs w:val="20"/>
          <w:lang w:eastAsia="en-US"/>
        </w:rPr>
        <w:t>E</w:t>
      </w:r>
      <w:r w:rsidR="00E639A8">
        <w:rPr>
          <w:color w:val="000000"/>
          <w:szCs w:val="20"/>
          <w:lang w:eastAsia="en-US"/>
        </w:rPr>
        <w:t xml:space="preserve">lles sont </w:t>
      </w:r>
      <w:r>
        <w:rPr>
          <w:color w:val="000000"/>
          <w:szCs w:val="20"/>
          <w:lang w:eastAsia="en-US"/>
        </w:rPr>
        <w:t>appliquée</w:t>
      </w:r>
      <w:r w:rsidR="00E639A8">
        <w:rPr>
          <w:color w:val="000000"/>
          <w:szCs w:val="20"/>
          <w:lang w:eastAsia="en-US"/>
        </w:rPr>
        <w:t>s</w:t>
      </w:r>
      <w:r>
        <w:rPr>
          <w:color w:val="000000"/>
          <w:szCs w:val="20"/>
          <w:lang w:eastAsia="en-US"/>
        </w:rPr>
        <w:t xml:space="preserve"> </w:t>
      </w:r>
      <w:r w:rsidR="005C5CD3">
        <w:rPr>
          <w:color w:val="000000"/>
          <w:szCs w:val="20"/>
          <w:lang w:eastAsia="en-US"/>
        </w:rPr>
        <w:t xml:space="preserve">par les fournisseurs d’électricité </w:t>
      </w:r>
      <w:r w:rsidR="00396617">
        <w:rPr>
          <w:color w:val="000000"/>
          <w:szCs w:val="20"/>
          <w:lang w:eastAsia="en-US"/>
        </w:rPr>
        <w:t xml:space="preserve">au moment de la facturation des </w:t>
      </w:r>
      <w:r w:rsidR="00396617" w:rsidRPr="00F83DF1">
        <w:rPr>
          <w:color w:val="000000" w:themeColor="text1"/>
          <w:szCs w:val="20"/>
          <w:lang w:eastAsia="en-US"/>
        </w:rPr>
        <w:t>clients</w:t>
      </w:r>
      <w:r w:rsidR="00302ED3" w:rsidRPr="00F83DF1">
        <w:rPr>
          <w:color w:val="000000" w:themeColor="text1"/>
          <w:szCs w:val="20"/>
          <w:lang w:eastAsia="en-US"/>
        </w:rPr>
        <w:t xml:space="preserve"> et reversées</w:t>
      </w:r>
      <w:r w:rsidR="005C5CD3" w:rsidRPr="00F83DF1">
        <w:rPr>
          <w:color w:val="000000" w:themeColor="text1"/>
          <w:szCs w:val="20"/>
          <w:lang w:eastAsia="en-US"/>
        </w:rPr>
        <w:t xml:space="preserve"> aux collectivités bénéficiaires</w:t>
      </w:r>
      <w:r w:rsidR="00462EFF" w:rsidRPr="00F83DF1">
        <w:rPr>
          <w:rFonts w:eastAsia="Times New Roman"/>
          <w:color w:val="000000" w:themeColor="text1"/>
          <w:szCs w:val="20"/>
        </w:rPr>
        <w:t xml:space="preserve">. </w:t>
      </w:r>
    </w:p>
    <w:p w14:paraId="26B9E9F8" w14:textId="77777777" w:rsidR="008E1257" w:rsidRDefault="008E1257" w:rsidP="00832B7A">
      <w:pPr>
        <w:pStyle w:val="Bleu"/>
      </w:pPr>
      <w:r>
        <w:t>Les objectifs de la réforme</w:t>
      </w:r>
    </w:p>
    <w:p w14:paraId="45518A49" w14:textId="140F85C3" w:rsidR="008E1257" w:rsidRPr="003D57D6" w:rsidRDefault="008E1257" w:rsidP="00983920">
      <w:pPr>
        <w:jc w:val="both"/>
        <w:rPr>
          <w:szCs w:val="20"/>
        </w:rPr>
      </w:pPr>
      <w:r w:rsidRPr="008655CE">
        <w:rPr>
          <w:szCs w:val="20"/>
        </w:rPr>
        <w:t>La réforme poursuit deux objectifs</w:t>
      </w:r>
      <w:r w:rsidR="00396617" w:rsidRPr="008655CE">
        <w:rPr>
          <w:szCs w:val="20"/>
        </w:rPr>
        <w:t xml:space="preserve"> principaux</w:t>
      </w:r>
      <w:r w:rsidRPr="008655CE">
        <w:rPr>
          <w:szCs w:val="20"/>
        </w:rPr>
        <w:t xml:space="preserve"> :</w:t>
      </w:r>
      <w:r>
        <w:rPr>
          <w:b/>
          <w:szCs w:val="20"/>
        </w:rPr>
        <w:t xml:space="preserve"> sécuriser et simp</w:t>
      </w:r>
      <w:r w:rsidR="00D72F1B">
        <w:rPr>
          <w:b/>
          <w:szCs w:val="20"/>
        </w:rPr>
        <w:t xml:space="preserve">lifier </w:t>
      </w:r>
      <w:r w:rsidR="00D72F1B" w:rsidRPr="003D57D6">
        <w:rPr>
          <w:szCs w:val="20"/>
        </w:rPr>
        <w:t>le dispositif des taxes sur l</w:t>
      </w:r>
      <w:r w:rsidRPr="003D57D6">
        <w:rPr>
          <w:szCs w:val="20"/>
        </w:rPr>
        <w:t xml:space="preserve">'électricité. </w:t>
      </w:r>
    </w:p>
    <w:p w14:paraId="53843B58" w14:textId="05BB9E73" w:rsidR="00396617" w:rsidRPr="00F83DF1" w:rsidRDefault="006D1D16" w:rsidP="00983920">
      <w:pPr>
        <w:jc w:val="both"/>
        <w:rPr>
          <w:rFonts w:eastAsia="Times New Roman"/>
          <w:color w:val="000000" w:themeColor="text1"/>
          <w:szCs w:val="20"/>
        </w:rPr>
      </w:pPr>
      <w:r>
        <w:rPr>
          <w:szCs w:val="20"/>
        </w:rPr>
        <w:t xml:space="preserve">L’ancien dispositif comportait deux axes de fragilité. </w:t>
      </w:r>
      <w:r w:rsidR="00371ECC">
        <w:rPr>
          <w:szCs w:val="20"/>
        </w:rPr>
        <w:t xml:space="preserve">D’une part, la possibilité de </w:t>
      </w:r>
      <w:r w:rsidR="008E1257">
        <w:rPr>
          <w:rFonts w:eastAsia="Times New Roman"/>
          <w:szCs w:val="20"/>
        </w:rPr>
        <w:t>modul</w:t>
      </w:r>
      <w:r w:rsidR="00371ECC">
        <w:rPr>
          <w:rFonts w:eastAsia="Times New Roman"/>
          <w:szCs w:val="20"/>
        </w:rPr>
        <w:t>er</w:t>
      </w:r>
      <w:r w:rsidR="008E1257">
        <w:rPr>
          <w:rFonts w:eastAsia="Times New Roman"/>
          <w:szCs w:val="20"/>
        </w:rPr>
        <w:t xml:space="preserve"> localement</w:t>
      </w:r>
      <w:r w:rsidR="00371ECC">
        <w:rPr>
          <w:rFonts w:eastAsia="Times New Roman"/>
          <w:szCs w:val="20"/>
        </w:rPr>
        <w:t xml:space="preserve"> ces taxes </w:t>
      </w:r>
      <w:r>
        <w:rPr>
          <w:rFonts w:eastAsia="Times New Roman"/>
          <w:color w:val="000000" w:themeColor="text1"/>
          <w:szCs w:val="20"/>
        </w:rPr>
        <w:t>était</w:t>
      </w:r>
      <w:r w:rsidR="00D97263" w:rsidRPr="00F83DF1">
        <w:rPr>
          <w:rFonts w:eastAsia="Times New Roman"/>
          <w:color w:val="000000" w:themeColor="text1"/>
          <w:szCs w:val="20"/>
        </w:rPr>
        <w:t xml:space="preserve"> </w:t>
      </w:r>
      <w:r w:rsidR="008E1257">
        <w:rPr>
          <w:rFonts w:eastAsia="Times New Roman"/>
          <w:szCs w:val="20"/>
        </w:rPr>
        <w:t xml:space="preserve">en contradiction avec le droit européen. </w:t>
      </w:r>
      <w:r w:rsidR="008F2B1F">
        <w:rPr>
          <w:rFonts w:eastAsia="Times New Roman"/>
          <w:szCs w:val="20"/>
        </w:rPr>
        <w:t>D’autre part</w:t>
      </w:r>
      <w:r w:rsidR="008E1257">
        <w:rPr>
          <w:rFonts w:eastAsia="Times New Roman"/>
          <w:szCs w:val="20"/>
        </w:rPr>
        <w:t>,</w:t>
      </w:r>
      <w:r w:rsidR="00396617">
        <w:rPr>
          <w:rFonts w:eastAsia="Times New Roman"/>
          <w:szCs w:val="20"/>
        </w:rPr>
        <w:t xml:space="preserve"> </w:t>
      </w:r>
      <w:r w:rsidR="00AB2927">
        <w:rPr>
          <w:rFonts w:eastAsia="Times New Roman"/>
          <w:szCs w:val="20"/>
        </w:rPr>
        <w:t xml:space="preserve">il y a </w:t>
      </w:r>
      <w:r w:rsidR="00AB2927" w:rsidRPr="00F83DF1">
        <w:rPr>
          <w:rFonts w:eastAsia="Times New Roman"/>
          <w:color w:val="000000" w:themeColor="text1"/>
          <w:szCs w:val="20"/>
        </w:rPr>
        <w:t xml:space="preserve">une augmentation du nombre de contentieux liés au reversement de </w:t>
      </w:r>
      <w:r w:rsidR="00F83DF1">
        <w:rPr>
          <w:rFonts w:eastAsia="Times New Roman"/>
          <w:color w:val="000000" w:themeColor="text1"/>
          <w:szCs w:val="20"/>
        </w:rPr>
        <w:t>celles-ci</w:t>
      </w:r>
      <w:r w:rsidR="00AB2927" w:rsidRPr="00F83DF1">
        <w:rPr>
          <w:rFonts w:eastAsia="Times New Roman"/>
          <w:color w:val="000000" w:themeColor="text1"/>
          <w:szCs w:val="20"/>
        </w:rPr>
        <w:t>.</w:t>
      </w:r>
      <w:r w:rsidR="008E1257" w:rsidRPr="00F83DF1">
        <w:rPr>
          <w:rFonts w:eastAsia="Times New Roman"/>
          <w:color w:val="000000" w:themeColor="text1"/>
          <w:szCs w:val="20"/>
        </w:rPr>
        <w:t xml:space="preserve"> </w:t>
      </w:r>
    </w:p>
    <w:p w14:paraId="1CE7371D" w14:textId="7CACA185" w:rsidR="00396617" w:rsidRDefault="00396617" w:rsidP="00983920">
      <w:pPr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E</w:t>
      </w:r>
      <w:r>
        <w:rPr>
          <w:szCs w:val="20"/>
        </w:rPr>
        <w:t xml:space="preserve">n confiant la gestion </w:t>
      </w:r>
      <w:r w:rsidR="003F638A">
        <w:rPr>
          <w:szCs w:val="20"/>
        </w:rPr>
        <w:t xml:space="preserve">de </w:t>
      </w:r>
      <w:r w:rsidR="00CC4512">
        <w:rPr>
          <w:szCs w:val="20"/>
        </w:rPr>
        <w:t>ces taxes locales</w:t>
      </w:r>
      <w:r w:rsidR="003F638A">
        <w:rPr>
          <w:szCs w:val="20"/>
        </w:rPr>
        <w:t xml:space="preserve"> </w:t>
      </w:r>
      <w:r>
        <w:rPr>
          <w:szCs w:val="20"/>
        </w:rPr>
        <w:t xml:space="preserve">aux services fiscaux de l’Etat et en fixant un </w:t>
      </w:r>
      <w:r w:rsidR="00F83DF1">
        <w:rPr>
          <w:szCs w:val="20"/>
        </w:rPr>
        <w:t>taux</w:t>
      </w:r>
      <w:r>
        <w:rPr>
          <w:szCs w:val="20"/>
        </w:rPr>
        <w:t xml:space="preserve"> unique au plan national d’ici 2023, le gouvernement </w:t>
      </w:r>
      <w:r w:rsidR="006C2595">
        <w:rPr>
          <w:szCs w:val="20"/>
        </w:rPr>
        <w:t>souhaite</w:t>
      </w:r>
      <w:r>
        <w:rPr>
          <w:szCs w:val="20"/>
        </w:rPr>
        <w:t xml:space="preserve"> répondre à ces objectifs de simplification et robustesse juridique.</w:t>
      </w:r>
    </w:p>
    <w:p w14:paraId="0F3C6456" w14:textId="126E28C5" w:rsidR="008E1257" w:rsidRPr="003F638A" w:rsidRDefault="00371ECC" w:rsidP="00983920">
      <w:pPr>
        <w:jc w:val="both"/>
        <w:rPr>
          <w:rFonts w:eastAsia="Times New Roman"/>
          <w:szCs w:val="20"/>
        </w:rPr>
      </w:pPr>
      <w:r>
        <w:rPr>
          <w:szCs w:val="20"/>
        </w:rPr>
        <w:t>Enfin</w:t>
      </w:r>
      <w:r w:rsidR="00396617" w:rsidRPr="003F638A">
        <w:rPr>
          <w:szCs w:val="20"/>
        </w:rPr>
        <w:t xml:space="preserve">, le gouvernement </w:t>
      </w:r>
      <w:r w:rsidR="00396617" w:rsidRPr="006C2595">
        <w:rPr>
          <w:szCs w:val="20"/>
        </w:rPr>
        <w:t xml:space="preserve">entend </w:t>
      </w:r>
      <w:r w:rsidR="00396617" w:rsidRPr="003F638A">
        <w:rPr>
          <w:szCs w:val="20"/>
        </w:rPr>
        <w:t xml:space="preserve">assurer une ressource fiscale locale pour toutes les </w:t>
      </w:r>
      <w:r w:rsidR="00D37098">
        <w:rPr>
          <w:szCs w:val="20"/>
        </w:rPr>
        <w:t>collectivités concernées</w:t>
      </w:r>
      <w:r w:rsidR="00396617" w:rsidRPr="003F638A">
        <w:rPr>
          <w:szCs w:val="20"/>
        </w:rPr>
        <w:t>.</w:t>
      </w:r>
    </w:p>
    <w:p w14:paraId="0C8381F0" w14:textId="77777777" w:rsidR="008E1257" w:rsidRDefault="008E1257" w:rsidP="00832B7A">
      <w:pPr>
        <w:pStyle w:val="Bleu"/>
      </w:pPr>
      <w:r>
        <w:t>Ce qui change avec la réforme</w:t>
      </w:r>
    </w:p>
    <w:p w14:paraId="34BF9489" w14:textId="649E68BC" w:rsidR="003F638A" w:rsidRPr="003F638A" w:rsidRDefault="003F638A" w:rsidP="00983920">
      <w:pPr>
        <w:jc w:val="both"/>
        <w:rPr>
          <w:b/>
          <w:color w:val="000000"/>
          <w:szCs w:val="20"/>
          <w:lang w:eastAsia="en-US"/>
        </w:rPr>
      </w:pPr>
      <w:r w:rsidRPr="003F638A">
        <w:rPr>
          <w:b/>
          <w:color w:val="000000"/>
          <w:szCs w:val="20"/>
          <w:lang w:eastAsia="en-US"/>
        </w:rPr>
        <w:t xml:space="preserve">La loi a mis en place un calendrier d’évolution </w:t>
      </w:r>
      <w:r w:rsidRPr="003F638A">
        <w:rPr>
          <w:b/>
          <w:szCs w:val="20"/>
        </w:rPr>
        <w:t xml:space="preserve">progressive, </w:t>
      </w:r>
      <w:r w:rsidRPr="003F638A">
        <w:rPr>
          <w:b/>
        </w:rPr>
        <w:t xml:space="preserve">à la hausse, </w:t>
      </w:r>
      <w:r w:rsidRPr="003F638A">
        <w:rPr>
          <w:b/>
          <w:color w:val="000000"/>
          <w:szCs w:val="20"/>
          <w:lang w:eastAsia="en-US"/>
        </w:rPr>
        <w:t>sur 2 ans de 2021 à 2023.</w:t>
      </w:r>
    </w:p>
    <w:p w14:paraId="361D2ADE" w14:textId="5CCC1A6B" w:rsidR="00B64978" w:rsidRDefault="003F638A" w:rsidP="00983920">
      <w:pPr>
        <w:jc w:val="both"/>
        <w:rPr>
          <w:szCs w:val="20"/>
        </w:rPr>
      </w:pPr>
      <w:r>
        <w:rPr>
          <w:szCs w:val="20"/>
        </w:rPr>
        <w:t xml:space="preserve">Jusqu’à présent, les collectivités bénéficiaires </w:t>
      </w:r>
      <w:r w:rsidR="0008164A">
        <w:rPr>
          <w:szCs w:val="20"/>
        </w:rPr>
        <w:t>de ces taxes</w:t>
      </w:r>
      <w:r>
        <w:rPr>
          <w:szCs w:val="20"/>
        </w:rPr>
        <w:t xml:space="preserve"> pouvaient non seulement </w:t>
      </w:r>
      <w:r w:rsidR="0008164A">
        <w:rPr>
          <w:szCs w:val="20"/>
        </w:rPr>
        <w:t xml:space="preserve">en </w:t>
      </w:r>
      <w:r>
        <w:rPr>
          <w:szCs w:val="20"/>
        </w:rPr>
        <w:t xml:space="preserve">moduler le </w:t>
      </w:r>
      <w:r w:rsidR="00F83DF1">
        <w:rPr>
          <w:szCs w:val="20"/>
        </w:rPr>
        <w:t>taux</w:t>
      </w:r>
      <w:r>
        <w:rPr>
          <w:szCs w:val="20"/>
        </w:rPr>
        <w:t xml:space="preserve"> mais aussi choisir de ne pas l</w:t>
      </w:r>
      <w:r w:rsidR="0008164A">
        <w:rPr>
          <w:szCs w:val="20"/>
        </w:rPr>
        <w:t>es</w:t>
      </w:r>
      <w:r>
        <w:rPr>
          <w:szCs w:val="20"/>
        </w:rPr>
        <w:t xml:space="preserve"> faire appliquer.</w:t>
      </w:r>
      <w:r w:rsidR="00B64978">
        <w:rPr>
          <w:szCs w:val="20"/>
        </w:rPr>
        <w:t xml:space="preserve"> </w:t>
      </w:r>
      <w:r w:rsidRPr="00F83DF1">
        <w:rPr>
          <w:color w:val="000000" w:themeColor="text1"/>
          <w:szCs w:val="20"/>
          <w:lang w:eastAsia="en-US"/>
        </w:rPr>
        <w:t xml:space="preserve">En Isère, une centaine de communes </w:t>
      </w:r>
      <w:r w:rsidR="00AB2927" w:rsidRPr="00F83DF1">
        <w:rPr>
          <w:color w:val="000000" w:themeColor="text1"/>
          <w:szCs w:val="20"/>
          <w:lang w:eastAsia="en-US"/>
        </w:rPr>
        <w:t>sont </w:t>
      </w:r>
      <w:r w:rsidRPr="00F83DF1">
        <w:rPr>
          <w:color w:val="000000" w:themeColor="text1"/>
          <w:szCs w:val="20"/>
          <w:lang w:eastAsia="en-US"/>
        </w:rPr>
        <w:t>concerné</w:t>
      </w:r>
      <w:r>
        <w:rPr>
          <w:color w:val="000000"/>
          <w:szCs w:val="20"/>
          <w:lang w:eastAsia="en-US"/>
        </w:rPr>
        <w:t>e</w:t>
      </w:r>
      <w:r w:rsidR="00F83DF1">
        <w:rPr>
          <w:color w:val="000000"/>
          <w:szCs w:val="20"/>
          <w:lang w:eastAsia="en-US"/>
        </w:rPr>
        <w:t>s</w:t>
      </w:r>
      <w:r>
        <w:rPr>
          <w:color w:val="000000"/>
          <w:szCs w:val="20"/>
          <w:lang w:eastAsia="en-US"/>
        </w:rPr>
        <w:t>.</w:t>
      </w:r>
      <w:r w:rsidR="00B64978">
        <w:rPr>
          <w:color w:val="000000"/>
          <w:szCs w:val="20"/>
          <w:lang w:eastAsia="en-US"/>
        </w:rPr>
        <w:t xml:space="preserve"> </w:t>
      </w:r>
      <w:r w:rsidR="00B32993">
        <w:rPr>
          <w:szCs w:val="20"/>
        </w:rPr>
        <w:t xml:space="preserve">C’est le cas de </w:t>
      </w:r>
      <w:r w:rsidR="00EB219E" w:rsidRPr="005B0199">
        <w:rPr>
          <w:color w:val="767171" w:themeColor="background2" w:themeShade="80"/>
          <w:szCs w:val="20"/>
        </w:rPr>
        <w:t>[</w:t>
      </w:r>
      <w:r w:rsidR="00B32993" w:rsidRPr="005B0199">
        <w:rPr>
          <w:i/>
          <w:color w:val="767171" w:themeColor="background2" w:themeShade="80"/>
          <w:szCs w:val="20"/>
        </w:rPr>
        <w:t>nom commune</w:t>
      </w:r>
      <w:r w:rsidR="00EB219E" w:rsidRPr="005B0199">
        <w:rPr>
          <w:color w:val="767171" w:themeColor="background2" w:themeShade="80"/>
          <w:szCs w:val="20"/>
        </w:rPr>
        <w:t>]</w:t>
      </w:r>
      <w:r w:rsidR="00B32993">
        <w:rPr>
          <w:szCs w:val="20"/>
        </w:rPr>
        <w:t>, qui</w:t>
      </w:r>
      <w:r w:rsidR="00EB219E">
        <w:rPr>
          <w:szCs w:val="20"/>
        </w:rPr>
        <w:t xml:space="preserve"> avait choisi de </w:t>
      </w:r>
      <w:r w:rsidR="00EB219E" w:rsidRPr="005B0199">
        <w:rPr>
          <w:color w:val="767171" w:themeColor="background2" w:themeShade="80"/>
          <w:szCs w:val="20"/>
        </w:rPr>
        <w:t>[</w:t>
      </w:r>
      <w:r w:rsidR="00EB219E" w:rsidRPr="005B0199">
        <w:rPr>
          <w:i/>
          <w:color w:val="767171" w:themeColor="background2" w:themeShade="80"/>
          <w:szCs w:val="20"/>
        </w:rPr>
        <w:t>ne pas appliquer cette taxe / d’appliquer un faible coefficient</w:t>
      </w:r>
      <w:r w:rsidR="00EB219E" w:rsidRPr="005B0199">
        <w:rPr>
          <w:color w:val="767171" w:themeColor="background2" w:themeShade="80"/>
          <w:szCs w:val="20"/>
        </w:rPr>
        <w:t xml:space="preserve">] </w:t>
      </w:r>
      <w:r w:rsidR="00CE3C98">
        <w:rPr>
          <w:szCs w:val="20"/>
        </w:rPr>
        <w:t>afin de</w:t>
      </w:r>
      <w:r w:rsidR="00EB219E">
        <w:rPr>
          <w:szCs w:val="20"/>
        </w:rPr>
        <w:t xml:space="preserve"> </w:t>
      </w:r>
      <w:r w:rsidR="00EB219E" w:rsidRPr="005B0199">
        <w:rPr>
          <w:color w:val="767171" w:themeColor="background2" w:themeShade="80"/>
          <w:szCs w:val="20"/>
        </w:rPr>
        <w:t>[</w:t>
      </w:r>
      <w:r w:rsidR="00EB219E" w:rsidRPr="005B0199">
        <w:rPr>
          <w:i/>
          <w:color w:val="767171" w:themeColor="background2" w:themeShade="80"/>
          <w:szCs w:val="20"/>
        </w:rPr>
        <w:t>raison</w:t>
      </w:r>
      <w:r w:rsidR="00EB219E" w:rsidRPr="005B0199">
        <w:rPr>
          <w:color w:val="767171" w:themeColor="background2" w:themeShade="80"/>
          <w:szCs w:val="20"/>
        </w:rPr>
        <w:t>]</w:t>
      </w:r>
      <w:r w:rsidR="00EB219E">
        <w:rPr>
          <w:szCs w:val="20"/>
        </w:rPr>
        <w:t xml:space="preserve">. </w:t>
      </w:r>
    </w:p>
    <w:p w14:paraId="5E78E7F8" w14:textId="4D233393" w:rsidR="005C5CD3" w:rsidRDefault="0052180D" w:rsidP="00983920">
      <w:pPr>
        <w:jc w:val="both"/>
        <w:rPr>
          <w:szCs w:val="20"/>
        </w:rPr>
      </w:pPr>
      <w:r>
        <w:rPr>
          <w:szCs w:val="20"/>
        </w:rPr>
        <w:t>D</w:t>
      </w:r>
      <w:r w:rsidR="00EB219E">
        <w:rPr>
          <w:szCs w:val="20"/>
        </w:rPr>
        <w:t>epuis le 1</w:t>
      </w:r>
      <w:r w:rsidR="00EB219E" w:rsidRPr="00EB219E">
        <w:rPr>
          <w:szCs w:val="20"/>
          <w:vertAlign w:val="superscript"/>
        </w:rPr>
        <w:t>er</w:t>
      </w:r>
      <w:r w:rsidR="00EB219E">
        <w:rPr>
          <w:szCs w:val="20"/>
        </w:rPr>
        <w:t xml:space="preserve"> janvier 2021, ce choix n’e</w:t>
      </w:r>
      <w:r w:rsidR="00993AF1">
        <w:rPr>
          <w:szCs w:val="20"/>
        </w:rPr>
        <w:t>st plus possible</w:t>
      </w:r>
      <w:r w:rsidR="009A608E">
        <w:rPr>
          <w:szCs w:val="20"/>
        </w:rPr>
        <w:t xml:space="preserve">, </w:t>
      </w:r>
      <w:r w:rsidR="009A608E" w:rsidRPr="009A608E">
        <w:rPr>
          <w:b/>
          <w:szCs w:val="20"/>
        </w:rPr>
        <w:t>indépendamment de la volonté de la commune</w:t>
      </w:r>
      <w:r w:rsidR="00993AF1">
        <w:rPr>
          <w:szCs w:val="20"/>
        </w:rPr>
        <w:t xml:space="preserve">. Cette taxe </w:t>
      </w:r>
      <w:r w:rsidR="00993AF1" w:rsidRPr="0052180D">
        <w:rPr>
          <w:color w:val="767171" w:themeColor="background2" w:themeShade="80"/>
          <w:szCs w:val="20"/>
        </w:rPr>
        <w:t>[</w:t>
      </w:r>
      <w:r w:rsidR="00993AF1" w:rsidRPr="0052180D">
        <w:rPr>
          <w:i/>
          <w:color w:val="767171" w:themeColor="background2" w:themeShade="80"/>
          <w:szCs w:val="20"/>
        </w:rPr>
        <w:t>appara</w:t>
      </w:r>
      <w:r w:rsidR="009B6DBA">
        <w:rPr>
          <w:i/>
          <w:color w:val="767171" w:themeColor="background2" w:themeShade="80"/>
          <w:szCs w:val="20"/>
        </w:rPr>
        <w:t>î</w:t>
      </w:r>
      <w:r w:rsidR="00993AF1" w:rsidRPr="0052180D">
        <w:rPr>
          <w:i/>
          <w:color w:val="767171" w:themeColor="background2" w:themeShade="80"/>
          <w:szCs w:val="20"/>
        </w:rPr>
        <w:t xml:space="preserve">t </w:t>
      </w:r>
      <w:r w:rsidRPr="0052180D">
        <w:rPr>
          <w:i/>
          <w:color w:val="767171" w:themeColor="background2" w:themeShade="80"/>
          <w:szCs w:val="20"/>
        </w:rPr>
        <w:t>ainsi</w:t>
      </w:r>
      <w:r w:rsidR="00993AF1" w:rsidRPr="0052180D">
        <w:rPr>
          <w:i/>
          <w:color w:val="767171" w:themeColor="background2" w:themeShade="80"/>
          <w:szCs w:val="20"/>
        </w:rPr>
        <w:t xml:space="preserve"> sur vos factures / a légèrement augmenté</w:t>
      </w:r>
      <w:r w:rsidR="00993AF1" w:rsidRPr="0052180D">
        <w:rPr>
          <w:color w:val="767171" w:themeColor="background2" w:themeShade="80"/>
          <w:szCs w:val="20"/>
        </w:rPr>
        <w:t xml:space="preserve">] </w:t>
      </w:r>
      <w:r w:rsidR="00993AF1">
        <w:rPr>
          <w:szCs w:val="20"/>
        </w:rPr>
        <w:t xml:space="preserve">depuis ce </w:t>
      </w:r>
      <w:r w:rsidR="003C20A9">
        <w:rPr>
          <w:szCs w:val="20"/>
        </w:rPr>
        <w:t>début d’année</w:t>
      </w:r>
      <w:r w:rsidR="00993AF1">
        <w:rPr>
          <w:szCs w:val="20"/>
        </w:rPr>
        <w:t xml:space="preserve"> et va s</w:t>
      </w:r>
      <w:r w:rsidR="003D0AB8">
        <w:rPr>
          <w:szCs w:val="20"/>
        </w:rPr>
        <w:t>’accroître progressivement pour atteindre le taux fixé par la loi pour</w:t>
      </w:r>
      <w:r w:rsidR="00993AF1">
        <w:rPr>
          <w:szCs w:val="20"/>
        </w:rPr>
        <w:t xml:space="preserve"> 2023. </w:t>
      </w:r>
    </w:p>
    <w:p w14:paraId="03AB481F" w14:textId="12013AA3" w:rsidR="00EF734E" w:rsidRDefault="00EB219E" w:rsidP="00983920">
      <w:pPr>
        <w:jc w:val="both"/>
        <w:rPr>
          <w:szCs w:val="20"/>
        </w:rPr>
      </w:pPr>
      <w:r>
        <w:rPr>
          <w:szCs w:val="20"/>
        </w:rPr>
        <w:t xml:space="preserve">Par exemple, un foyer consommant </w:t>
      </w:r>
      <w:r w:rsidRPr="00EB219E">
        <w:rPr>
          <w:szCs w:val="20"/>
        </w:rPr>
        <w:t>annuelle</w:t>
      </w:r>
      <w:r>
        <w:rPr>
          <w:szCs w:val="20"/>
        </w:rPr>
        <w:t>ment</w:t>
      </w:r>
      <w:r w:rsidRPr="00EB219E">
        <w:rPr>
          <w:szCs w:val="20"/>
        </w:rPr>
        <w:t xml:space="preserve"> 6 000 kWh paiera un montant </w:t>
      </w:r>
      <w:r>
        <w:rPr>
          <w:szCs w:val="20"/>
        </w:rPr>
        <w:t xml:space="preserve">annuel </w:t>
      </w:r>
      <w:r w:rsidRPr="00EB219E">
        <w:rPr>
          <w:szCs w:val="20"/>
        </w:rPr>
        <w:t xml:space="preserve">de </w:t>
      </w:r>
      <w:r w:rsidR="00D04765">
        <w:rPr>
          <w:szCs w:val="20"/>
        </w:rPr>
        <w:t>taxe communale</w:t>
      </w:r>
      <w:r w:rsidRPr="00EB219E">
        <w:rPr>
          <w:szCs w:val="20"/>
        </w:rPr>
        <w:t xml:space="preserve"> </w:t>
      </w:r>
      <w:r w:rsidR="00993AF1">
        <w:rPr>
          <w:szCs w:val="20"/>
        </w:rPr>
        <w:t>d’environ 20</w:t>
      </w:r>
      <w:r>
        <w:rPr>
          <w:szCs w:val="20"/>
        </w:rPr>
        <w:t xml:space="preserve"> € en 2021, </w:t>
      </w:r>
      <w:r w:rsidR="0062115D">
        <w:rPr>
          <w:szCs w:val="20"/>
        </w:rPr>
        <w:t xml:space="preserve">puis </w:t>
      </w:r>
      <w:r w:rsidR="00993AF1">
        <w:rPr>
          <w:szCs w:val="20"/>
        </w:rPr>
        <w:t>30</w:t>
      </w:r>
      <w:r>
        <w:rPr>
          <w:szCs w:val="20"/>
        </w:rPr>
        <w:t xml:space="preserve"> € en 2022, </w:t>
      </w:r>
      <w:r w:rsidR="0062115D">
        <w:rPr>
          <w:szCs w:val="20"/>
        </w:rPr>
        <w:t xml:space="preserve">pour atteindre </w:t>
      </w:r>
      <w:r>
        <w:rPr>
          <w:szCs w:val="20"/>
        </w:rPr>
        <w:t>40</w:t>
      </w:r>
      <w:r w:rsidRPr="00EB219E">
        <w:rPr>
          <w:szCs w:val="20"/>
        </w:rPr>
        <w:t xml:space="preserve"> €</w:t>
      </w:r>
      <w:r>
        <w:rPr>
          <w:szCs w:val="20"/>
        </w:rPr>
        <w:t xml:space="preserve"> en 2023 et les années suivantes</w:t>
      </w:r>
      <w:r w:rsidRPr="00EB219E">
        <w:rPr>
          <w:szCs w:val="20"/>
        </w:rPr>
        <w:t>.</w:t>
      </w:r>
      <w:r w:rsidR="002C6BE7">
        <w:rPr>
          <w:szCs w:val="20"/>
        </w:rPr>
        <w:t xml:space="preserve"> </w:t>
      </w:r>
    </w:p>
    <w:p w14:paraId="0D91ECED" w14:textId="77777777" w:rsidR="00420AA0" w:rsidRPr="00B64978" w:rsidRDefault="00420AA0" w:rsidP="00420AA0">
      <w:pPr>
        <w:pStyle w:val="Bleu"/>
      </w:pPr>
      <w:r>
        <w:t>Bon à savoir</w:t>
      </w:r>
    </w:p>
    <w:p w14:paraId="548CAAC3" w14:textId="17DCF561" w:rsidR="000B6F2E" w:rsidRDefault="000B6F2E" w:rsidP="00983920">
      <w:pPr>
        <w:jc w:val="both"/>
        <w:rPr>
          <w:szCs w:val="20"/>
        </w:rPr>
      </w:pPr>
      <w:r>
        <w:rPr>
          <w:szCs w:val="20"/>
        </w:rPr>
        <w:t>Sur les facture</w:t>
      </w:r>
      <w:r w:rsidR="009507E5">
        <w:rPr>
          <w:szCs w:val="20"/>
        </w:rPr>
        <w:t>s</w:t>
      </w:r>
      <w:r>
        <w:rPr>
          <w:szCs w:val="20"/>
        </w:rPr>
        <w:t xml:space="preserve">, les taxes sur l’électricité </w:t>
      </w:r>
      <w:r w:rsidR="009E08ED">
        <w:rPr>
          <w:szCs w:val="20"/>
        </w:rPr>
        <w:t>apparaissent dans le rubrique « taxes et contributions ». Parfois, la taxe communale et la taxe départementale sont regroupées et additionnées sur un seule ligne intitulée « taxes sur la consommation d’électricité ».</w:t>
      </w:r>
    </w:p>
    <w:p w14:paraId="39837A97" w14:textId="3B6ED8B9" w:rsidR="00517926" w:rsidRDefault="00517926" w:rsidP="00B64978">
      <w:pPr>
        <w:pStyle w:val="VIOLET"/>
        <w:spacing w:before="360"/>
      </w:pPr>
      <w:r>
        <w:rPr>
          <w:noProof/>
          <w:lang w:eastAsia="fr-FR"/>
        </w:rPr>
        <w:lastRenderedPageBreak/>
        <w:drawing>
          <wp:inline distT="0" distB="0" distL="0" distR="0" wp14:anchorId="4C7B6C73" wp14:editId="11E085D6">
            <wp:extent cx="6078382" cy="705769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88" cy="724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0E6ADB6C" w14:textId="5EB85313" w:rsidR="006F7698" w:rsidRDefault="008D75F1" w:rsidP="00983920">
      <w:pPr>
        <w:jc w:val="both"/>
        <w:rPr>
          <w:color w:val="000000"/>
          <w:szCs w:val="20"/>
          <w:lang w:eastAsia="en-US"/>
        </w:rPr>
      </w:pPr>
      <w:r>
        <w:rPr>
          <w:rFonts w:eastAsia="Times New Roman"/>
          <w:szCs w:val="20"/>
        </w:rPr>
        <w:t>Enfin, l</w:t>
      </w:r>
      <w:r w:rsidR="006F7698">
        <w:rPr>
          <w:rFonts w:eastAsia="Times New Roman"/>
          <w:szCs w:val="20"/>
        </w:rPr>
        <w:t xml:space="preserve">a taxe départementale sur </w:t>
      </w:r>
      <w:r w:rsidR="00E15C1B">
        <w:rPr>
          <w:rFonts w:eastAsia="Times New Roman"/>
          <w:szCs w:val="20"/>
        </w:rPr>
        <w:t>l</w:t>
      </w:r>
      <w:r w:rsidR="006F7698">
        <w:rPr>
          <w:rFonts w:eastAsia="Times New Roman"/>
          <w:szCs w:val="20"/>
        </w:rPr>
        <w:t xml:space="preserve">'électricité </w:t>
      </w:r>
      <w:r>
        <w:rPr>
          <w:rFonts w:eastAsia="Times New Roman"/>
          <w:szCs w:val="20"/>
        </w:rPr>
        <w:t>étant</w:t>
      </w:r>
      <w:r w:rsidR="00E15C1B">
        <w:rPr>
          <w:rFonts w:eastAsia="Times New Roman"/>
          <w:szCs w:val="20"/>
        </w:rPr>
        <w:t xml:space="preserve"> déjà en place depuis plusieurs années en Isère</w:t>
      </w:r>
      <w:r>
        <w:rPr>
          <w:rFonts w:eastAsia="Times New Roman"/>
          <w:szCs w:val="20"/>
        </w:rPr>
        <w:t xml:space="preserve"> avec le coefficient voulu par la réforme, </w:t>
      </w:r>
      <w:r w:rsidR="00E15C1B">
        <w:rPr>
          <w:rFonts w:eastAsia="Times New Roman"/>
          <w:szCs w:val="20"/>
        </w:rPr>
        <w:t xml:space="preserve">il n’y aura </w:t>
      </w:r>
      <w:r>
        <w:rPr>
          <w:rFonts w:eastAsia="Times New Roman"/>
          <w:szCs w:val="20"/>
        </w:rPr>
        <w:t xml:space="preserve">donc </w:t>
      </w:r>
      <w:r w:rsidR="00E15C1B">
        <w:rPr>
          <w:rFonts w:eastAsia="Times New Roman"/>
          <w:szCs w:val="20"/>
        </w:rPr>
        <w:t xml:space="preserve">pas d’impact sur </w:t>
      </w:r>
      <w:r w:rsidR="005F5943">
        <w:rPr>
          <w:rFonts w:eastAsia="Times New Roman"/>
          <w:szCs w:val="20"/>
        </w:rPr>
        <w:t>cette part départementale</w:t>
      </w:r>
      <w:r>
        <w:rPr>
          <w:rFonts w:eastAsia="Times New Roman"/>
          <w:szCs w:val="20"/>
        </w:rPr>
        <w:t xml:space="preserve"> pour les consommateurs isérois</w:t>
      </w:r>
      <w:r w:rsidR="00E15C1B">
        <w:rPr>
          <w:rFonts w:eastAsia="Times New Roman"/>
          <w:szCs w:val="20"/>
        </w:rPr>
        <w:t xml:space="preserve">. </w:t>
      </w:r>
    </w:p>
    <w:p w14:paraId="5BFA5FEE" w14:textId="7621F169" w:rsidR="006F7698" w:rsidRPr="001E3821" w:rsidRDefault="001E3821" w:rsidP="00983920">
      <w:pPr>
        <w:jc w:val="both"/>
        <w:rPr>
          <w:i/>
          <w:szCs w:val="20"/>
        </w:rPr>
      </w:pPr>
      <w:r w:rsidRPr="001E3821">
        <w:rPr>
          <w:i/>
          <w:szCs w:val="20"/>
        </w:rPr>
        <w:t>Fin de l’article</w:t>
      </w:r>
    </w:p>
    <w:p w14:paraId="16835ED6" w14:textId="5CE128C4" w:rsidR="006F7698" w:rsidRDefault="006F7698" w:rsidP="001E3821">
      <w:pPr>
        <w:pBdr>
          <w:bottom w:val="single" w:sz="4" w:space="1" w:color="auto"/>
        </w:pBdr>
        <w:jc w:val="both"/>
        <w:rPr>
          <w:szCs w:val="20"/>
        </w:rPr>
      </w:pPr>
    </w:p>
    <w:p w14:paraId="44E5D32D" w14:textId="77777777" w:rsidR="00353420" w:rsidRDefault="00353420" w:rsidP="001E3821">
      <w:pPr>
        <w:pBdr>
          <w:bottom w:val="single" w:sz="4" w:space="1" w:color="auto"/>
        </w:pBdr>
        <w:jc w:val="both"/>
        <w:rPr>
          <w:szCs w:val="20"/>
        </w:rPr>
      </w:pPr>
    </w:p>
    <w:p w14:paraId="5A4C0B59" w14:textId="2521F773" w:rsidR="005C5CD3" w:rsidRPr="005C5CD3" w:rsidRDefault="005C5CD3" w:rsidP="00983920">
      <w:pPr>
        <w:jc w:val="both"/>
        <w:rPr>
          <w:rStyle w:val="VIOLETCar"/>
        </w:rPr>
      </w:pPr>
      <w:r w:rsidRPr="005C5CD3">
        <w:rPr>
          <w:rStyle w:val="VIOLETCar"/>
        </w:rPr>
        <w:t>Destinataires </w:t>
      </w:r>
      <w:r w:rsidR="005F5943">
        <w:rPr>
          <w:rStyle w:val="VIOLETCar"/>
        </w:rPr>
        <w:t xml:space="preserve">de l’article </w:t>
      </w:r>
      <w:r w:rsidRPr="005C5CD3">
        <w:rPr>
          <w:rStyle w:val="VIOLETCar"/>
        </w:rPr>
        <w:t xml:space="preserve">: </w:t>
      </w:r>
    </w:p>
    <w:p w14:paraId="51266A4C" w14:textId="5A258EEC" w:rsidR="005C5CD3" w:rsidRDefault="00832B7A" w:rsidP="00983920">
      <w:pPr>
        <w:jc w:val="both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>L’article est proposé à t</w:t>
      </w:r>
      <w:r w:rsidR="005C5CD3" w:rsidRPr="007D159F">
        <w:rPr>
          <w:color w:val="000000"/>
          <w:szCs w:val="20"/>
          <w:lang w:eastAsia="en-US"/>
        </w:rPr>
        <w:t xml:space="preserve">outes </w:t>
      </w:r>
      <w:r w:rsidR="005C5CD3" w:rsidRPr="00CF3F30">
        <w:rPr>
          <w:b/>
          <w:color w:val="000000"/>
          <w:szCs w:val="20"/>
          <w:lang w:eastAsia="en-US"/>
        </w:rPr>
        <w:t>les communes de plus de 2000 habitants, n’ayant pas fait le choix de transférer la perception de la TCCFE à TE38</w:t>
      </w:r>
      <w:r w:rsidR="005312A7">
        <w:rPr>
          <w:color w:val="000000"/>
          <w:szCs w:val="20"/>
          <w:lang w:eastAsia="en-US"/>
        </w:rPr>
        <w:t xml:space="preserve"> et qui </w:t>
      </w:r>
      <w:r w:rsidR="005312A7" w:rsidRPr="005312A7">
        <w:rPr>
          <w:b/>
          <w:color w:val="000000"/>
          <w:szCs w:val="20"/>
          <w:lang w:eastAsia="en-US"/>
        </w:rPr>
        <w:t>avaient jusqu’au 31/12/20</w:t>
      </w:r>
      <w:r w:rsidR="005312A7">
        <w:rPr>
          <w:b/>
          <w:color w:val="000000"/>
          <w:szCs w:val="20"/>
          <w:lang w:eastAsia="en-US"/>
        </w:rPr>
        <w:t xml:space="preserve"> </w:t>
      </w:r>
      <w:r w:rsidR="005312A7" w:rsidRPr="005312A7">
        <w:rPr>
          <w:b/>
          <w:color w:val="000000"/>
          <w:szCs w:val="20"/>
          <w:lang w:eastAsia="en-US"/>
        </w:rPr>
        <w:t xml:space="preserve">un coefficient municipal </w:t>
      </w:r>
      <w:r w:rsidR="00811041">
        <w:rPr>
          <w:b/>
          <w:color w:val="000000"/>
          <w:szCs w:val="20"/>
          <w:lang w:eastAsia="en-US"/>
        </w:rPr>
        <w:t xml:space="preserve">de TCCFE </w:t>
      </w:r>
      <w:r w:rsidR="005312A7" w:rsidRPr="005312A7">
        <w:rPr>
          <w:b/>
          <w:color w:val="000000"/>
          <w:szCs w:val="20"/>
          <w:lang w:eastAsia="en-US"/>
        </w:rPr>
        <w:t xml:space="preserve">inférieur à 4 </w:t>
      </w:r>
      <w:r w:rsidR="005312A7" w:rsidRPr="005312A7">
        <w:rPr>
          <w:color w:val="000000"/>
          <w:szCs w:val="20"/>
          <w:lang w:eastAsia="en-US"/>
        </w:rPr>
        <w:t>ou</w:t>
      </w:r>
      <w:r w:rsidR="005312A7" w:rsidRPr="00CF3F30">
        <w:rPr>
          <w:b/>
          <w:color w:val="000000"/>
          <w:szCs w:val="20"/>
          <w:lang w:eastAsia="en-US"/>
        </w:rPr>
        <w:t xml:space="preserve"> n’avaient pas fixé ce coefficient</w:t>
      </w:r>
      <w:r w:rsidR="005312A7">
        <w:rPr>
          <w:color w:val="000000"/>
          <w:szCs w:val="20"/>
          <w:lang w:eastAsia="en-US"/>
        </w:rPr>
        <w:t>.</w:t>
      </w:r>
    </w:p>
    <w:p w14:paraId="6C987AD6" w14:textId="6D291A5B" w:rsidR="00811041" w:rsidRPr="00AB2927" w:rsidRDefault="003F2F71" w:rsidP="00983920">
      <w:pPr>
        <w:jc w:val="both"/>
        <w:rPr>
          <w:color w:val="0070C0"/>
          <w:szCs w:val="20"/>
          <w:lang w:eastAsia="en-US"/>
        </w:rPr>
      </w:pPr>
      <w:r w:rsidRPr="00AB2927">
        <w:rPr>
          <w:color w:val="0070C0"/>
          <w:szCs w:val="20"/>
          <w:lang w:eastAsia="en-US"/>
        </w:rPr>
        <w:t xml:space="preserve">Attention ! Les communes </w:t>
      </w:r>
      <w:r w:rsidR="005312A7" w:rsidRPr="00AB2927">
        <w:rPr>
          <w:color w:val="0070C0"/>
          <w:szCs w:val="20"/>
          <w:lang w:eastAsia="en-US"/>
        </w:rPr>
        <w:t>qui ont un coefficient municipal égal à 4 ne seront impactées par la réforme qu’en 2022, et celles dont le coefficient est supérieur ou égal à 6 le seront en 2023.</w:t>
      </w:r>
      <w:r w:rsidRPr="00AB2927">
        <w:rPr>
          <w:color w:val="0070C0"/>
          <w:szCs w:val="20"/>
          <w:lang w:eastAsia="en-US"/>
        </w:rPr>
        <w:t xml:space="preserve"> </w:t>
      </w:r>
      <w:r w:rsidR="00C944E5">
        <w:rPr>
          <w:color w:val="0070C0"/>
          <w:szCs w:val="20"/>
          <w:lang w:eastAsia="en-US"/>
        </w:rPr>
        <w:t>Dans ces deux cas, l’article sera à utiliser et adapter en 2022 et 2023.</w:t>
      </w:r>
    </w:p>
    <w:p w14:paraId="2F318ACE" w14:textId="375EEBFA" w:rsidR="003F2F71" w:rsidRPr="00C944E5" w:rsidRDefault="00811041" w:rsidP="00983920">
      <w:pPr>
        <w:jc w:val="both"/>
        <w:rPr>
          <w:color w:val="000000" w:themeColor="text1"/>
          <w:szCs w:val="20"/>
          <w:lang w:eastAsia="en-US"/>
        </w:rPr>
      </w:pPr>
      <w:r w:rsidRPr="00C944E5">
        <w:rPr>
          <w:color w:val="000000" w:themeColor="text1"/>
          <w:szCs w:val="20"/>
          <w:lang w:eastAsia="en-US"/>
        </w:rPr>
        <w:t>N</w:t>
      </w:r>
      <w:r w:rsidR="00457B61" w:rsidRPr="00C944E5">
        <w:rPr>
          <w:color w:val="000000" w:themeColor="text1"/>
          <w:szCs w:val="20"/>
          <w:lang w:eastAsia="en-US"/>
        </w:rPr>
        <w:t>e</w:t>
      </w:r>
      <w:r w:rsidRPr="00C944E5">
        <w:rPr>
          <w:color w:val="000000" w:themeColor="text1"/>
          <w:szCs w:val="20"/>
          <w:lang w:eastAsia="en-US"/>
        </w:rPr>
        <w:t xml:space="preserve"> sont pas du tout concernées les communes dont le coefficient est égal à 8,5</w:t>
      </w:r>
      <w:r w:rsidR="003F2F71" w:rsidRPr="00C944E5">
        <w:rPr>
          <w:color w:val="000000" w:themeColor="text1"/>
          <w:szCs w:val="20"/>
          <w:lang w:eastAsia="en-US"/>
        </w:rPr>
        <w:t>.</w:t>
      </w:r>
    </w:p>
    <w:p w14:paraId="205DBCBE" w14:textId="77777777" w:rsidR="009E6F91" w:rsidRDefault="009E6F91" w:rsidP="00983920">
      <w:pPr>
        <w:jc w:val="both"/>
        <w:rPr>
          <w:rStyle w:val="VIOLETCar"/>
        </w:rPr>
      </w:pPr>
      <w:r>
        <w:rPr>
          <w:rStyle w:val="VIOLETCar"/>
        </w:rPr>
        <w:t>Contact :</w:t>
      </w:r>
    </w:p>
    <w:p w14:paraId="765BD621" w14:textId="123A1197" w:rsidR="005C5CD3" w:rsidRPr="007D159F" w:rsidRDefault="009E6F91" w:rsidP="00983920">
      <w:pPr>
        <w:jc w:val="both"/>
        <w:rPr>
          <w:szCs w:val="20"/>
        </w:rPr>
      </w:pPr>
      <w:r w:rsidRPr="009E6F91">
        <w:rPr>
          <w:rStyle w:val="VIOLETCar"/>
          <w:color w:val="auto"/>
        </w:rPr>
        <w:t xml:space="preserve">Les communes souhaitant des </w:t>
      </w:r>
      <w:r w:rsidR="00811041" w:rsidRPr="009E6F91">
        <w:rPr>
          <w:rStyle w:val="VIOLETCar"/>
          <w:color w:val="auto"/>
        </w:rPr>
        <w:t>renseignement</w:t>
      </w:r>
      <w:r w:rsidRPr="009E6F91">
        <w:rPr>
          <w:rStyle w:val="VIOLETCar"/>
          <w:color w:val="auto"/>
        </w:rPr>
        <w:t>s peuvent</w:t>
      </w:r>
      <w:r w:rsidR="00811041" w:rsidRPr="009E6F91">
        <w:rPr>
          <w:rStyle w:val="VIOLETCar"/>
          <w:color w:val="auto"/>
        </w:rPr>
        <w:t xml:space="preserve"> contacter</w:t>
      </w:r>
      <w:r>
        <w:rPr>
          <w:rStyle w:val="VIOLETCar"/>
          <w:color w:val="auto"/>
        </w:rPr>
        <w:t> </w:t>
      </w:r>
      <w:r w:rsidR="005C5CD3" w:rsidRPr="009E6F91">
        <w:rPr>
          <w:szCs w:val="20"/>
        </w:rPr>
        <w:t xml:space="preserve">Marlène GHILARDI </w:t>
      </w:r>
      <w:r w:rsidR="00C864E2">
        <w:rPr>
          <w:szCs w:val="20"/>
        </w:rPr>
        <w:t>(</w:t>
      </w:r>
      <w:r w:rsidR="005C5CD3" w:rsidRPr="009E6F91">
        <w:rPr>
          <w:szCs w:val="20"/>
        </w:rPr>
        <w:t xml:space="preserve">04 76 03 03 26 – </w:t>
      </w:r>
      <w:hyperlink r:id="rId9" w:history="1">
        <w:r w:rsidR="005C5CD3" w:rsidRPr="007D159F">
          <w:rPr>
            <w:rStyle w:val="Lienhypertexte"/>
            <w:szCs w:val="20"/>
          </w:rPr>
          <w:t>mghilardi@te38.fr</w:t>
        </w:r>
      </w:hyperlink>
      <w:r w:rsidR="00C864E2" w:rsidRPr="00C864E2">
        <w:rPr>
          <w:rStyle w:val="Lienhypertexte"/>
          <w:color w:val="000000" w:themeColor="text1"/>
          <w:szCs w:val="20"/>
          <w:u w:val="none"/>
        </w:rPr>
        <w:t>).</w:t>
      </w:r>
    </w:p>
    <w:sectPr w:rsidR="005C5CD3" w:rsidRPr="007D159F" w:rsidSect="00EF734E">
      <w:headerReference w:type="default" r:id="rId10"/>
      <w:pgSz w:w="11906" w:h="16838"/>
      <w:pgMar w:top="1702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0FF1" w14:textId="77777777" w:rsidR="00035443" w:rsidRDefault="00035443" w:rsidP="00567303">
      <w:pPr>
        <w:spacing w:after="0" w:line="240" w:lineRule="auto"/>
      </w:pPr>
      <w:r>
        <w:separator/>
      </w:r>
    </w:p>
  </w:endnote>
  <w:endnote w:type="continuationSeparator" w:id="0">
    <w:p w14:paraId="74F21B10" w14:textId="77777777" w:rsidR="00035443" w:rsidRDefault="00035443" w:rsidP="0056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A565" w14:textId="77777777" w:rsidR="00035443" w:rsidRDefault="00035443" w:rsidP="00567303">
      <w:pPr>
        <w:spacing w:after="0" w:line="240" w:lineRule="auto"/>
      </w:pPr>
      <w:r>
        <w:separator/>
      </w:r>
    </w:p>
  </w:footnote>
  <w:footnote w:type="continuationSeparator" w:id="0">
    <w:p w14:paraId="2A1742D3" w14:textId="77777777" w:rsidR="00035443" w:rsidRDefault="00035443" w:rsidP="0056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88F3" w14:textId="230C3E81" w:rsidR="00567303" w:rsidRDefault="00567303">
    <w:pPr>
      <w:pStyle w:val="En-tte"/>
    </w:pPr>
    <w:r>
      <w:rPr>
        <w:noProof/>
      </w:rPr>
      <w:drawing>
        <wp:inline distT="0" distB="0" distL="0" distR="0" wp14:anchorId="27C6AFFC" wp14:editId="2933D7C9">
          <wp:extent cx="1296063" cy="460283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38 moy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194" cy="472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FF1"/>
    <w:multiLevelType w:val="hybridMultilevel"/>
    <w:tmpl w:val="FE522A24"/>
    <w:lvl w:ilvl="0" w:tplc="38DA87E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59F3"/>
    <w:multiLevelType w:val="hybridMultilevel"/>
    <w:tmpl w:val="4EAC875E"/>
    <w:lvl w:ilvl="0" w:tplc="4DB800DC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EA5"/>
    <w:multiLevelType w:val="hybridMultilevel"/>
    <w:tmpl w:val="8A0EB59C"/>
    <w:lvl w:ilvl="0" w:tplc="4C0A8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0710C"/>
    <w:multiLevelType w:val="hybridMultilevel"/>
    <w:tmpl w:val="E41E14F4"/>
    <w:lvl w:ilvl="0" w:tplc="A2C051A0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452A"/>
    <w:multiLevelType w:val="hybridMultilevel"/>
    <w:tmpl w:val="34EA51A2"/>
    <w:lvl w:ilvl="0" w:tplc="FB9E862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1D"/>
    <w:rsid w:val="000127A4"/>
    <w:rsid w:val="00022591"/>
    <w:rsid w:val="00024754"/>
    <w:rsid w:val="00035443"/>
    <w:rsid w:val="000369CC"/>
    <w:rsid w:val="0004740A"/>
    <w:rsid w:val="00067BD3"/>
    <w:rsid w:val="0008164A"/>
    <w:rsid w:val="00090985"/>
    <w:rsid w:val="000926F7"/>
    <w:rsid w:val="00093FBF"/>
    <w:rsid w:val="000A1196"/>
    <w:rsid w:val="000B68D1"/>
    <w:rsid w:val="000B6F2E"/>
    <w:rsid w:val="000C24F5"/>
    <w:rsid w:val="000D081F"/>
    <w:rsid w:val="00117F21"/>
    <w:rsid w:val="001424E2"/>
    <w:rsid w:val="00155F5D"/>
    <w:rsid w:val="00157385"/>
    <w:rsid w:val="00162F97"/>
    <w:rsid w:val="00172C05"/>
    <w:rsid w:val="001A6D87"/>
    <w:rsid w:val="001C29C6"/>
    <w:rsid w:val="001C2B8F"/>
    <w:rsid w:val="001D4927"/>
    <w:rsid w:val="001E3821"/>
    <w:rsid w:val="001F3E28"/>
    <w:rsid w:val="00217FF0"/>
    <w:rsid w:val="002216FD"/>
    <w:rsid w:val="00251C9B"/>
    <w:rsid w:val="00267324"/>
    <w:rsid w:val="00280590"/>
    <w:rsid w:val="002819EA"/>
    <w:rsid w:val="00282A4F"/>
    <w:rsid w:val="002A22E0"/>
    <w:rsid w:val="002C3D69"/>
    <w:rsid w:val="002C6302"/>
    <w:rsid w:val="002C6BE7"/>
    <w:rsid w:val="002D6DB4"/>
    <w:rsid w:val="002E5424"/>
    <w:rsid w:val="002F4E54"/>
    <w:rsid w:val="00302ED3"/>
    <w:rsid w:val="00304388"/>
    <w:rsid w:val="003174F2"/>
    <w:rsid w:val="00345358"/>
    <w:rsid w:val="00353420"/>
    <w:rsid w:val="0035480F"/>
    <w:rsid w:val="00354DBE"/>
    <w:rsid w:val="00371ECC"/>
    <w:rsid w:val="00396617"/>
    <w:rsid w:val="00397496"/>
    <w:rsid w:val="003A6344"/>
    <w:rsid w:val="003B76B1"/>
    <w:rsid w:val="003C20A9"/>
    <w:rsid w:val="003D0AB8"/>
    <w:rsid w:val="003D1D2C"/>
    <w:rsid w:val="003D57D6"/>
    <w:rsid w:val="003E0ABD"/>
    <w:rsid w:val="003F1C2A"/>
    <w:rsid w:val="003F1CB3"/>
    <w:rsid w:val="003F2F71"/>
    <w:rsid w:val="003F638A"/>
    <w:rsid w:val="00420AA0"/>
    <w:rsid w:val="00430665"/>
    <w:rsid w:val="00436EF4"/>
    <w:rsid w:val="00454180"/>
    <w:rsid w:val="004550E1"/>
    <w:rsid w:val="00457B61"/>
    <w:rsid w:val="0046261C"/>
    <w:rsid w:val="00462EFF"/>
    <w:rsid w:val="004704AD"/>
    <w:rsid w:val="00491F86"/>
    <w:rsid w:val="004A6C29"/>
    <w:rsid w:val="004B2E4A"/>
    <w:rsid w:val="004B37A9"/>
    <w:rsid w:val="004B5FE7"/>
    <w:rsid w:val="004C7F8E"/>
    <w:rsid w:val="00512BF9"/>
    <w:rsid w:val="00517926"/>
    <w:rsid w:val="0052180D"/>
    <w:rsid w:val="005312A7"/>
    <w:rsid w:val="00536705"/>
    <w:rsid w:val="00567303"/>
    <w:rsid w:val="005967A7"/>
    <w:rsid w:val="005B0199"/>
    <w:rsid w:val="005C542D"/>
    <w:rsid w:val="005C5CD3"/>
    <w:rsid w:val="005F5943"/>
    <w:rsid w:val="00611B06"/>
    <w:rsid w:val="0062115D"/>
    <w:rsid w:val="00640BDD"/>
    <w:rsid w:val="0068217A"/>
    <w:rsid w:val="006B3342"/>
    <w:rsid w:val="006B76D4"/>
    <w:rsid w:val="006C2595"/>
    <w:rsid w:val="006D1D16"/>
    <w:rsid w:val="006D44AF"/>
    <w:rsid w:val="006F7698"/>
    <w:rsid w:val="007053D0"/>
    <w:rsid w:val="00705DB6"/>
    <w:rsid w:val="00726524"/>
    <w:rsid w:val="00737E24"/>
    <w:rsid w:val="007566B4"/>
    <w:rsid w:val="00797ED3"/>
    <w:rsid w:val="007C1DFC"/>
    <w:rsid w:val="007C7A03"/>
    <w:rsid w:val="007D159F"/>
    <w:rsid w:val="0080352E"/>
    <w:rsid w:val="00811041"/>
    <w:rsid w:val="00813223"/>
    <w:rsid w:val="00821178"/>
    <w:rsid w:val="00826E03"/>
    <w:rsid w:val="008315E4"/>
    <w:rsid w:val="00832B7A"/>
    <w:rsid w:val="00834FFA"/>
    <w:rsid w:val="00852396"/>
    <w:rsid w:val="00855A5D"/>
    <w:rsid w:val="00862B51"/>
    <w:rsid w:val="008655CE"/>
    <w:rsid w:val="00897986"/>
    <w:rsid w:val="008A773C"/>
    <w:rsid w:val="008B3707"/>
    <w:rsid w:val="008C6548"/>
    <w:rsid w:val="008D75F1"/>
    <w:rsid w:val="008E1257"/>
    <w:rsid w:val="008F0C2B"/>
    <w:rsid w:val="008F2B1F"/>
    <w:rsid w:val="008F3E3E"/>
    <w:rsid w:val="0091791D"/>
    <w:rsid w:val="00921416"/>
    <w:rsid w:val="00943CCC"/>
    <w:rsid w:val="009507E5"/>
    <w:rsid w:val="0095414E"/>
    <w:rsid w:val="00963938"/>
    <w:rsid w:val="00966CEE"/>
    <w:rsid w:val="00972986"/>
    <w:rsid w:val="00983920"/>
    <w:rsid w:val="00987A18"/>
    <w:rsid w:val="00993AF1"/>
    <w:rsid w:val="009A31D6"/>
    <w:rsid w:val="009A608E"/>
    <w:rsid w:val="009B6DBA"/>
    <w:rsid w:val="009E08ED"/>
    <w:rsid w:val="009E4066"/>
    <w:rsid w:val="009E57C2"/>
    <w:rsid w:val="009E6F91"/>
    <w:rsid w:val="00A04975"/>
    <w:rsid w:val="00A532E6"/>
    <w:rsid w:val="00A60A28"/>
    <w:rsid w:val="00A71208"/>
    <w:rsid w:val="00A82B2F"/>
    <w:rsid w:val="00AB2927"/>
    <w:rsid w:val="00AD374A"/>
    <w:rsid w:val="00AF14C8"/>
    <w:rsid w:val="00B00AEB"/>
    <w:rsid w:val="00B32993"/>
    <w:rsid w:val="00B64978"/>
    <w:rsid w:val="00B747B8"/>
    <w:rsid w:val="00BB17C3"/>
    <w:rsid w:val="00BD4325"/>
    <w:rsid w:val="00BE3354"/>
    <w:rsid w:val="00C21F38"/>
    <w:rsid w:val="00C23206"/>
    <w:rsid w:val="00C36485"/>
    <w:rsid w:val="00C36507"/>
    <w:rsid w:val="00C578A5"/>
    <w:rsid w:val="00C73AA3"/>
    <w:rsid w:val="00C864E2"/>
    <w:rsid w:val="00C944E5"/>
    <w:rsid w:val="00C955B8"/>
    <w:rsid w:val="00CC4512"/>
    <w:rsid w:val="00CE3C98"/>
    <w:rsid w:val="00CE5846"/>
    <w:rsid w:val="00CF3F30"/>
    <w:rsid w:val="00D04765"/>
    <w:rsid w:val="00D27CC0"/>
    <w:rsid w:val="00D36A40"/>
    <w:rsid w:val="00D37098"/>
    <w:rsid w:val="00D50059"/>
    <w:rsid w:val="00D52E33"/>
    <w:rsid w:val="00D7140C"/>
    <w:rsid w:val="00D72F1B"/>
    <w:rsid w:val="00D72F7C"/>
    <w:rsid w:val="00D97263"/>
    <w:rsid w:val="00DC6FC9"/>
    <w:rsid w:val="00DE6A73"/>
    <w:rsid w:val="00E10726"/>
    <w:rsid w:val="00E15C1B"/>
    <w:rsid w:val="00E20459"/>
    <w:rsid w:val="00E639A8"/>
    <w:rsid w:val="00EB219E"/>
    <w:rsid w:val="00ED00AF"/>
    <w:rsid w:val="00ED2FF2"/>
    <w:rsid w:val="00ED3C96"/>
    <w:rsid w:val="00EF734E"/>
    <w:rsid w:val="00F07F0A"/>
    <w:rsid w:val="00F226FA"/>
    <w:rsid w:val="00F70806"/>
    <w:rsid w:val="00F83DF1"/>
    <w:rsid w:val="00FB0B1D"/>
    <w:rsid w:val="00FF0FD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090FAF"/>
  <w15:chartTrackingRefBased/>
  <w15:docId w15:val="{F3D01D5B-D9AA-4939-906E-F423E571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53D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next w:val="Normal"/>
    <w:qFormat/>
    <w:rsid w:val="002C6302"/>
    <w:pPr>
      <w:spacing w:line="240" w:lineRule="auto"/>
      <w:jc w:val="both"/>
    </w:pPr>
    <w:rPr>
      <w:color w:val="000000" w:themeColor="text1"/>
    </w:rPr>
  </w:style>
  <w:style w:type="paragraph" w:customStyle="1" w:styleId="Bleu">
    <w:name w:val="Bleu"/>
    <w:basedOn w:val="Texte"/>
    <w:next w:val="Texte"/>
    <w:link w:val="BleuCar"/>
    <w:qFormat/>
    <w:rsid w:val="002C6302"/>
    <w:rPr>
      <w:rFonts w:eastAsiaTheme="minorHAnsi"/>
      <w:color w:val="32B9C8"/>
      <w:lang w:eastAsia="en-US"/>
    </w:rPr>
  </w:style>
  <w:style w:type="character" w:customStyle="1" w:styleId="BleuCar">
    <w:name w:val="Bleu Car"/>
    <w:basedOn w:val="Policepardfaut"/>
    <w:link w:val="Bleu"/>
    <w:rsid w:val="002C6302"/>
    <w:rPr>
      <w:color w:val="32B9C8"/>
    </w:rPr>
  </w:style>
  <w:style w:type="paragraph" w:customStyle="1" w:styleId="VIOLET">
    <w:name w:val="VIOLET"/>
    <w:basedOn w:val="TEXTE0"/>
    <w:next w:val="TEXTE0"/>
    <w:link w:val="VIOLETCar"/>
    <w:qFormat/>
    <w:rsid w:val="007566B4"/>
    <w:rPr>
      <w:color w:val="A0328C"/>
    </w:rPr>
  </w:style>
  <w:style w:type="character" w:customStyle="1" w:styleId="VIOLETCar">
    <w:name w:val="VIOLET Car"/>
    <w:basedOn w:val="TEXTECar"/>
    <w:link w:val="VIOLET"/>
    <w:rsid w:val="007566B4"/>
    <w:rPr>
      <w:color w:val="A0328C"/>
    </w:rPr>
  </w:style>
  <w:style w:type="paragraph" w:customStyle="1" w:styleId="GRIS">
    <w:name w:val="GRIS"/>
    <w:basedOn w:val="TEXTE0"/>
    <w:next w:val="TEXTE0"/>
    <w:link w:val="GRISCar"/>
    <w:autoRedefine/>
    <w:qFormat/>
    <w:rsid w:val="007566B4"/>
    <w:rPr>
      <w:color w:val="46505A"/>
    </w:rPr>
  </w:style>
  <w:style w:type="character" w:customStyle="1" w:styleId="GRISCar">
    <w:name w:val="GRIS Car"/>
    <w:basedOn w:val="TEXTECar"/>
    <w:link w:val="GRIS"/>
    <w:rsid w:val="007566B4"/>
    <w:rPr>
      <w:color w:val="46505A"/>
    </w:rPr>
  </w:style>
  <w:style w:type="paragraph" w:customStyle="1" w:styleId="TEXTE0">
    <w:name w:val="TEXTE"/>
    <w:basedOn w:val="Normal"/>
    <w:link w:val="TEXTECar"/>
    <w:qFormat/>
    <w:rsid w:val="007566B4"/>
    <w:pPr>
      <w:spacing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TEXTECar">
    <w:name w:val="TEXTE Car"/>
    <w:basedOn w:val="Policepardfaut"/>
    <w:link w:val="TEXTE0"/>
    <w:rsid w:val="007566B4"/>
    <w:rPr>
      <w:color w:val="000000" w:themeColor="text1"/>
    </w:rPr>
  </w:style>
  <w:style w:type="paragraph" w:customStyle="1" w:styleId="BLEU0">
    <w:name w:val="BLEU"/>
    <w:basedOn w:val="TEXTE0"/>
    <w:next w:val="TEXTE0"/>
    <w:link w:val="BLEUCar0"/>
    <w:autoRedefine/>
    <w:qFormat/>
    <w:rsid w:val="007566B4"/>
    <w:rPr>
      <w:b/>
      <w:caps/>
      <w:color w:val="32B9C8"/>
      <w:u w:val="single"/>
    </w:rPr>
  </w:style>
  <w:style w:type="character" w:customStyle="1" w:styleId="BLEUCar0">
    <w:name w:val="BLEU Car"/>
    <w:basedOn w:val="TEXTECar"/>
    <w:link w:val="BLEU0"/>
    <w:rsid w:val="007566B4"/>
    <w:rPr>
      <w:b/>
      <w:caps/>
      <w:color w:val="32B9C8"/>
      <w:u w:val="single"/>
    </w:rPr>
  </w:style>
  <w:style w:type="character" w:styleId="Lienhypertexte">
    <w:name w:val="Hyperlink"/>
    <w:basedOn w:val="Policepardfaut"/>
    <w:uiPriority w:val="99"/>
    <w:unhideWhenUsed/>
    <w:rsid w:val="00D72F7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2F7C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F0FD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97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798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7986"/>
    <w:rPr>
      <w:rFonts w:eastAsiaTheme="minorEastAsia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7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7986"/>
    <w:rPr>
      <w:rFonts w:eastAsiaTheme="minorEastAsia"/>
      <w:b/>
      <w:bCs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986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30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303"/>
    <w:rPr>
      <w:rFonts w:eastAsiaTheme="minorEastAsia"/>
      <w:lang w:eastAsia="fr-FR"/>
    </w:rPr>
  </w:style>
  <w:style w:type="paragraph" w:customStyle="1" w:styleId="Default">
    <w:name w:val="Default"/>
    <w:rsid w:val="008E1257"/>
    <w:pPr>
      <w:autoSpaceDE w:val="0"/>
      <w:autoSpaceDN w:val="0"/>
      <w:adjustRightInd w:val="0"/>
      <w:spacing w:after="0" w:line="240" w:lineRule="auto"/>
    </w:pPr>
    <w:rPr>
      <w:rFonts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ghilardi@te38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E6C1-CBDC-4865-919A-769D2538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Ghilardi</dc:creator>
  <cp:keywords/>
  <dc:description/>
  <cp:lastModifiedBy>Lucie LAGARDE</cp:lastModifiedBy>
  <cp:revision>2</cp:revision>
  <cp:lastPrinted>2021-06-03T14:06:00Z</cp:lastPrinted>
  <dcterms:created xsi:type="dcterms:W3CDTF">2021-06-18T14:46:00Z</dcterms:created>
  <dcterms:modified xsi:type="dcterms:W3CDTF">2021-06-18T14:46:00Z</dcterms:modified>
</cp:coreProperties>
</file>